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-BoldMT" w:cs="Arial-BoldMT" w:eastAsia="Arial-BoldMT" w:hAnsi="Arial-BoldMT"/>
          <w:b w:val="1"/>
          <w:i w:val="0"/>
          <w:color w:val="222222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222222"/>
          <w:sz w:val="24"/>
          <w:szCs w:val="24"/>
        </w:rPr>
        <w:drawing>
          <wp:inline distB="0" distT="0" distL="0" distR="0">
            <wp:extent cx="780215" cy="78021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215" cy="780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-BoldMT" w:cs="Arial-BoldMT" w:eastAsia="Arial-BoldMT" w:hAnsi="Arial-BoldMT"/>
          <w:b w:val="1"/>
          <w:i w:val="0"/>
          <w:color w:val="222222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</w:rPr>
        <w:drawing>
          <wp:inline distB="0" distT="0" distL="0" distR="0">
            <wp:extent cx="2124710" cy="416560"/>
            <wp:effectExtent b="0" l="0" r="0" t="0"/>
            <wp:docPr descr="UK-MMK-Kurort" id="3" name="image3.png"/>
            <a:graphic>
              <a:graphicData uri="http://schemas.openxmlformats.org/drawingml/2006/picture">
                <pic:pic>
                  <pic:nvPicPr>
                    <pic:cNvPr descr="UK-MMK-Kurort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416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-BoldMT" w:cs="Arial-BoldMT" w:eastAsia="Arial-BoldMT" w:hAnsi="Arial-BoldMT"/>
          <w:b w:val="1"/>
          <w:i w:val="0"/>
          <w:color w:val="222222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Arial-BoldMT" w:cs="Arial-BoldMT" w:eastAsia="Arial-BoldMT" w:hAnsi="Arial-BoldMT"/>
          <w:b w:val="1"/>
          <w:color w:val="222222"/>
          <w:sz w:val="24"/>
          <w:szCs w:val="24"/>
        </w:rPr>
        <w:drawing>
          <wp:inline distB="0" distT="0" distL="0" distR="0">
            <wp:extent cx="972438" cy="972438"/>
            <wp:effectExtent b="0" l="0" r="0" t="0"/>
            <wp:docPr descr="Изображение выглядит как стрела&#10;&#10;Автоматически созданное описание" id="2" name="image2.png"/>
            <a:graphic>
              <a:graphicData uri="http://schemas.openxmlformats.org/drawingml/2006/picture">
                <pic:pic>
                  <pic:nvPicPr>
                    <pic:cNvPr descr="Изображение выглядит как стрела&#10;&#10;Автоматически созданное описание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2438" cy="972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MT" w:cs="ArialMT" w:eastAsia="ArialMT" w:hAnsi="ArialMT"/>
          <w:b w:val="0"/>
          <w:i w:val="0"/>
          <w:color w:val="222222"/>
          <w:sz w:val="20"/>
          <w:szCs w:val="20"/>
        </w:rPr>
      </w:pPr>
      <w:r w:rsidDel="00000000" w:rsidR="00000000" w:rsidRPr="00000000">
        <w:rPr>
          <w:rFonts w:ascii="Arial-BoldMT" w:cs="Arial-BoldMT" w:eastAsia="Arial-BoldMT" w:hAnsi="Arial-BoldMT"/>
          <w:b w:val="1"/>
          <w:i w:val="0"/>
          <w:color w:val="222222"/>
          <w:sz w:val="24"/>
          <w:szCs w:val="24"/>
          <w:rtl w:val="0"/>
        </w:rPr>
        <w:t xml:space="preserve">Информация по проживанию участников</w:t>
      </w:r>
      <w:r w:rsidDel="00000000" w:rsidR="00000000" w:rsidRPr="00000000">
        <w:rPr>
          <w:rFonts w:ascii="Arial-BoldMT" w:cs="Arial-BoldMT" w:eastAsia="Arial-BoldMT" w:hAnsi="Arial-BoldMT"/>
          <w:b w:val="1"/>
          <w:color w:val="222222"/>
          <w:rtl w:val="0"/>
        </w:rPr>
        <w:br w:type="textWrapping"/>
      </w:r>
      <w:r w:rsidDel="00000000" w:rsidR="00000000" w:rsidRPr="00000000">
        <w:rPr>
          <w:rFonts w:ascii="Arial-BoldMT" w:cs="Arial-BoldMT" w:eastAsia="Arial-BoldMT" w:hAnsi="Arial-BoldMT"/>
          <w:b w:val="1"/>
          <w:i w:val="0"/>
          <w:color w:val="222222"/>
          <w:sz w:val="24"/>
          <w:szCs w:val="24"/>
          <w:rtl w:val="0"/>
        </w:rPr>
        <w:t xml:space="preserve">«Кубка Анны Богалий-Skimir».</w:t>
      </w:r>
      <w:r w:rsidDel="00000000" w:rsidR="00000000" w:rsidRPr="00000000">
        <w:rPr>
          <w:rFonts w:ascii="Arial-BoldMT" w:cs="Arial-BoldMT" w:eastAsia="Arial-BoldMT" w:hAnsi="Arial-BoldMT"/>
          <w:b w:val="1"/>
          <w:color w:val="222222"/>
          <w:rtl w:val="0"/>
        </w:rPr>
        <w:br w:type="textWrapping"/>
      </w:r>
      <w:r w:rsidDel="00000000" w:rsidR="00000000" w:rsidRPr="00000000">
        <w:rPr>
          <w:rFonts w:ascii="Arial-BoldMT" w:cs="Arial-BoldMT" w:eastAsia="Arial-BoldMT" w:hAnsi="Arial-BoldMT"/>
          <w:b w:val="1"/>
          <w:i w:val="0"/>
          <w:color w:val="222222"/>
          <w:sz w:val="24"/>
          <w:szCs w:val="24"/>
          <w:rtl w:val="0"/>
        </w:rPr>
        <w:t xml:space="preserve">2 Этап. Магнитогорск (Абзаково.) 17-24 января 2022 г.</w:t>
      </w:r>
      <w:r w:rsidDel="00000000" w:rsidR="00000000" w:rsidRPr="00000000">
        <w:rPr>
          <w:rFonts w:ascii="Arial-BoldMT" w:cs="Arial-BoldMT" w:eastAsia="Arial-BoldMT" w:hAnsi="Arial-BoldMT"/>
          <w:b w:val="1"/>
          <w:color w:val="2222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left"/>
        <w:rPr>
          <w:rFonts w:ascii="Times New Roman" w:cs="Times New Roman" w:eastAsia="Times New Roman" w:hAnsi="Times New Roman"/>
          <w:b w:val="0"/>
          <w:i w:val="0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22222"/>
          <w:sz w:val="24"/>
          <w:szCs w:val="24"/>
          <w:rtl w:val="0"/>
        </w:rPr>
        <w:tab/>
        <w:t xml:space="preserve">Уважаемые участники этапа "Кубка Анны Богалий - Skimir" в Магнитогорске (Абзаково).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22222"/>
          <w:sz w:val="24"/>
          <w:szCs w:val="24"/>
          <w:rtl w:val="0"/>
        </w:rPr>
        <w:t xml:space="preserve">Гостиничный комплекс в Абзаково предоставляет номера для проживания на льготных условиях.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222222"/>
          <w:sz w:val="24"/>
          <w:szCs w:val="24"/>
          <w:rtl w:val="0"/>
        </w:rPr>
        <w:t xml:space="preserve">Стоимость включает 3-х разовое питание в столовой.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222222"/>
          <w:sz w:val="24"/>
          <w:szCs w:val="24"/>
          <w:rtl w:val="0"/>
        </w:rPr>
        <w:br w:type="textWrapping"/>
        <w:tab/>
        <w:t xml:space="preserve">Бронировать проживание во время соревнований на территории Абзаково вам необходимо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222222"/>
          <w:sz w:val="24"/>
          <w:szCs w:val="24"/>
          <w:rtl w:val="0"/>
        </w:rPr>
        <w:t xml:space="preserve">самостоятельно, следующим образом: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both"/>
        <w:rPr>
          <w:rFonts w:ascii="Times New Roman" w:cs="Times New Roman" w:eastAsia="Times New Roman" w:hAnsi="Times New Roman"/>
          <w:b w:val="0"/>
          <w:i w:val="0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22222"/>
          <w:sz w:val="24"/>
          <w:szCs w:val="24"/>
          <w:rtl w:val="0"/>
        </w:rPr>
        <w:t xml:space="preserve">- По договоренности с курортом Абзаково, вашей заявкой на бронь является - заявка на бланке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22222"/>
          <w:sz w:val="24"/>
          <w:szCs w:val="24"/>
          <w:rtl w:val="0"/>
        </w:rPr>
        <w:t xml:space="preserve">спортшколы со списком спортсменов, отправленная на адрес: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abzakovo@inbox.ru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ff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22222"/>
          <w:sz w:val="24"/>
          <w:szCs w:val="24"/>
          <w:rtl w:val="0"/>
        </w:rPr>
        <w:tab/>
        <w:t xml:space="preserve">Корректировки брони в дальнейшем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22222"/>
          <w:sz w:val="24"/>
          <w:szCs w:val="24"/>
          <w:rtl w:val="0"/>
        </w:rPr>
        <w:t xml:space="preserve">будут возможны. Но будьте готовы внести предоплату для сохранения вашей брони (оплата первых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22222"/>
          <w:sz w:val="24"/>
          <w:szCs w:val="24"/>
          <w:rtl w:val="0"/>
        </w:rPr>
        <w:t xml:space="preserve">суток проживания).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22222"/>
          <w:sz w:val="24"/>
          <w:szCs w:val="24"/>
          <w:rtl w:val="0"/>
        </w:rPr>
        <w:t xml:space="preserve">- Тип расселения вы выбираете сами, в таблице вся информация по вариантам расселения. В начале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22222"/>
          <w:sz w:val="24"/>
          <w:szCs w:val="24"/>
          <w:rtl w:val="0"/>
        </w:rPr>
        <w:t xml:space="preserve">вашего письма вы пишете: просим принять бронь на столько-то детей и столько-то взрослых, расселение в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22222"/>
          <w:sz w:val="24"/>
          <w:szCs w:val="24"/>
          <w:rtl w:val="0"/>
        </w:rPr>
        <w:t xml:space="preserve">таких-то номерах (с доп. местами или без и т. д.). Если для вас важно, кто именно с кем проживает, то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22222"/>
          <w:sz w:val="24"/>
          <w:szCs w:val="24"/>
          <w:rtl w:val="0"/>
        </w:rPr>
        <w:t xml:space="preserve">указываете это. Если количество проживающих у вас не делится на целые номера, то пишете, например: занимаем два места в четырехместном номере, согласны на подселение (чтобы не оплачивать весь четырехместный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22222"/>
          <w:sz w:val="24"/>
          <w:szCs w:val="24"/>
          <w:rtl w:val="0"/>
        </w:rPr>
        <w:t xml:space="preserve">номер) и т. д., то есть сопроводите ваше письмо любыми дополнительными комментариями, которые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22222"/>
          <w:sz w:val="24"/>
          <w:szCs w:val="24"/>
          <w:rtl w:val="0"/>
        </w:rPr>
        <w:t xml:space="preserve">сочтете нужными.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rtl w:val="0"/>
        </w:rPr>
        <w:tab/>
        <w:t xml:space="preserve">8 (34792)70821 и 8 (34792)70841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— это телефоны, по которым вы можете задавать вопросы напрямую в Абзаково по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вашему расселению.</w:t>
      </w:r>
    </w:p>
    <w:p w:rsidR="00000000" w:rsidDel="00000000" w:rsidP="00000000" w:rsidRDefault="00000000" w:rsidRPr="00000000" w14:paraId="00000007">
      <w:pPr>
        <w:spacing w:after="0" w:before="0" w:lineRule="auto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"/>
        <w:gridCol w:w="2053"/>
        <w:gridCol w:w="4891"/>
        <w:gridCol w:w="2551"/>
        <w:tblGridChange w:id="0">
          <w:tblGrid>
            <w:gridCol w:w="677"/>
            <w:gridCol w:w="2053"/>
            <w:gridCol w:w="4891"/>
            <w:gridCol w:w="2551"/>
          </w:tblGrid>
        </w:tblGridChange>
      </w:tblGrid>
      <w:tr>
        <w:trPr>
          <w:cantSplit w:val="0"/>
          <w:trHeight w:val="93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before="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before="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Корпус/коттедж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before="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Категория номера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before="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Цена (1 сутки за 1 человека с 3-х разовым питанием в столовой)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4 корпус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2-х местный однокомнатный номер 2 категории   (с холодильником)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1850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4 корпус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3-х местный однокомнатный номер 5 категории (доп.место не предоставляется)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1700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4 корпус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4-х местный однокомнатный номер 5 категории (доп.место не предоставляется)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1500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Коттедж № 1, 2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before="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2-х местный однокомнатный  номер 5 категории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1750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5 корпус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2-х местный однокомнатный  номер 1 категории (доп.место не предоставляется)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2150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5 корпус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before="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3-х местный двухкомнатный номер 1 категории 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2150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1 корпус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2-х местный однокомнатный  номер 1 категории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2150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before="0" w:lineRule="auto"/>
              <w:jc w:val="left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Дополнительное место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before="0" w:lineRule="auto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1400</w:t>
            </w:r>
          </w:p>
        </w:tc>
      </w:tr>
    </w:tbl>
    <w:p w:rsidR="00000000" w:rsidDel="00000000" w:rsidP="00000000" w:rsidRDefault="00000000" w:rsidRPr="00000000" w14:paraId="0000002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Информация по трансферу (встреча команд):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Для иногородних команд, прилетающих самолётом будет организован бесплатный трансфер (вне зависимости от места проживания)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иногородних команд прибывающих поездом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будет организован бесплатный трансфер только в случае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прибытия на станцию Новоабзаково и проживания именно на территории ООО "Абзаково"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тобы осуществить встречу команд (только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аэропорту Магнитогорска или на ж/д вокзале ст.Новоабзаково)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 также обратный трансфер в день отъезда необходимо предоставить заявку от команды. Из других мест  организованный (бесплатный) трансфер не предоставляется.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Внимание! Мы сможем встретить вас только в случае своевременно предоставленной информации (заявки на трансфер) о времени, способе прибытия/отъезда, количестве человек. Предоставить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 20 декабря 2021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почту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dmd-a@yandex.ru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пометкой в теме письма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«заявка на трансфер «Кубок А.Богалий»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Заявка на встречу/отъезд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ж/д вокзал ст.Новоабзаково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должна содержать в следующую информацию (пример):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Команд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а г. Нью-Биатлонска, СШОР №5. 3 взрослых 12 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Прибытие в Новоабзаково 13.01 в 10:20  поезд 707. </w:t>
        <w:br w:type="textWrapping"/>
        <w:t xml:space="preserve">Отъезд 20.01 в 23:00 поезд 708.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Сопровождает: ФИО тренера +ТЕЛЕФОН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Заявка на встречу/отъезд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аэропорт Магнитогорска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должна содержать в следующую информацию по обязательной форме на каждого пассажира, для уведомления в ГИБДД (пример): </w:t>
      </w:r>
    </w:p>
    <w:tbl>
      <w:tblPr>
        <w:tblStyle w:val="Table2"/>
        <w:tblW w:w="103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2409"/>
        <w:gridCol w:w="1276"/>
        <w:gridCol w:w="2268"/>
        <w:gridCol w:w="1418"/>
        <w:gridCol w:w="2551"/>
        <w:tblGridChange w:id="0">
          <w:tblGrid>
            <w:gridCol w:w="421"/>
            <w:gridCol w:w="2409"/>
            <w:gridCol w:w="1276"/>
            <w:gridCol w:w="2268"/>
            <w:gridCol w:w="1418"/>
            <w:gridCol w:w="255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ФИО несовершеннолетнего (спортсмена)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ФИО родителей (отец/мать)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 проживания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Телефон родителей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Петров Иван Николаевич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 марта 2007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Петров Николай Михайлович – отец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Петрова Мария Ивановна - мать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Тюменская область,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г. Тобольск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Ленина д.5 кв.10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8(902)8177755- отец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8(902)8155522 -мать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ФИО сопровождающего (тренер) Место работы, контактный телефон: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Сидоров Александр Дмитриевич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МБУ СШ г. Тобольска (Тренер по биатлону), 8(922)2211133</w:t>
            </w:r>
          </w:p>
        </w:tc>
      </w:tr>
    </w:tbl>
    <w:p w:rsidR="00000000" w:rsidDel="00000000" w:rsidP="00000000" w:rsidRDefault="00000000" w:rsidRPr="00000000" w14:paraId="00000053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*Индивидуально заявившиеся участники (один спортсмен + один сопровождающий), так же могут предоставить информацию о своем прибытии и отъезде, так как в случае совпадения с приездом других 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команд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смогут присоединиться к трансферу.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ВНИМАНИЕ! Если иногородняя 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команд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а НЕ нуждается в трансфере, так же просим сообщить нам об этом, вы очень поможете нашей логистике.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t xml:space="preserve">Кому звонить?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Могут возникать различные вопросы по трансферу. Внимание! Это человек который будет знать больше всех о встрече вашей команды и вообще о движении автобусов. Координатор по транспорту (сохраните номер):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+7 (906) 852-28-60 Евгений.</w:t>
      </w:r>
    </w:p>
    <w:p w:rsidR="00000000" w:rsidDel="00000000" w:rsidP="00000000" w:rsidRDefault="00000000" w:rsidRPr="00000000" w14:paraId="00000054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709" w:left="85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-BoldMT"/>
  <w:font w:name="Verdana"/>
  <w:font w:name="ArialMT"/>
  <w:font w:name="Times New Roman"/>
  <w:font w:name="Arim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60" w:before="24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bzakovo@inbox.ru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