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222222"/>
          <w:sz w:val="24"/>
          <w:szCs w:val="24"/>
        </w:rPr>
        <w:drawing>
          <wp:inline distB="0" distT="0" distL="0" distR="0">
            <wp:extent cx="780215" cy="7802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215" cy="780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2124710" cy="416560"/>
            <wp:effectExtent b="0" l="0" r="0" t="0"/>
            <wp:docPr descr="UK-MMK-Kurort" id="3" name="image3.png"/>
            <a:graphic>
              <a:graphicData uri="http://schemas.openxmlformats.org/drawingml/2006/picture">
                <pic:pic>
                  <pic:nvPicPr>
                    <pic:cNvPr descr="UK-MMK-Kurort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16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Arial-BoldMT" w:cs="Arial-BoldMT" w:eastAsia="Arial-BoldMT" w:hAnsi="Arial-BoldMT"/>
          <w:b w:val="1"/>
          <w:color w:val="222222"/>
          <w:sz w:val="24"/>
          <w:szCs w:val="24"/>
        </w:rPr>
        <w:drawing>
          <wp:inline distB="0" distT="0" distL="0" distR="0">
            <wp:extent cx="972438" cy="972438"/>
            <wp:effectExtent b="0" l="0" r="0" t="0"/>
            <wp:docPr descr="Изображение выглядит как стрела&#10;&#10;Автоматически созданное описание" id="2" name="image2.png"/>
            <a:graphic>
              <a:graphicData uri="http://schemas.openxmlformats.org/drawingml/2006/picture">
                <pic:pic>
                  <pic:nvPicPr>
                    <pic:cNvPr descr="Изображение выглядит как стрела&#10;&#10;Автоматически созданное описание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438" cy="97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MT" w:cs="ArialMT" w:eastAsia="ArialMT" w:hAnsi="ArialMT"/>
          <w:b w:val="0"/>
          <w:i w:val="0"/>
          <w:color w:val="222222"/>
          <w:sz w:val="20"/>
          <w:szCs w:val="2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  <w:rtl w:val="0"/>
        </w:rPr>
        <w:t xml:space="preserve">Информация по проживанию участников</w:t>
      </w:r>
      <w:r w:rsidDel="00000000" w:rsidR="00000000" w:rsidRPr="00000000">
        <w:rPr>
          <w:rFonts w:ascii="Arial-BoldMT" w:cs="Arial-BoldMT" w:eastAsia="Arial-BoldMT" w:hAnsi="Arial-BoldMT"/>
          <w:b w:val="1"/>
          <w:color w:val="222222"/>
          <w:rtl w:val="0"/>
        </w:rPr>
        <w:br w:type="textWrapping"/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  <w:rtl w:val="0"/>
        </w:rPr>
        <w:t xml:space="preserve">«Кубка Анны Богалий-Skimir».</w:t>
      </w:r>
      <w:r w:rsidDel="00000000" w:rsidR="00000000" w:rsidRPr="00000000">
        <w:rPr>
          <w:rFonts w:ascii="Arial-BoldMT" w:cs="Arial-BoldMT" w:eastAsia="Arial-BoldMT" w:hAnsi="Arial-BoldMT"/>
          <w:b w:val="1"/>
          <w:color w:val="222222"/>
          <w:rtl w:val="0"/>
        </w:rPr>
        <w:br w:type="textWrapping"/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222222"/>
          <w:sz w:val="24"/>
          <w:szCs w:val="24"/>
          <w:rtl w:val="0"/>
        </w:rPr>
        <w:t xml:space="preserve">2 Этап. Магнитогорск (Абзаково.) 17-24 января 2022 г.</w:t>
      </w:r>
      <w:r w:rsidDel="00000000" w:rsidR="00000000" w:rsidRPr="00000000">
        <w:rPr>
          <w:rFonts w:ascii="Arial-BoldMT" w:cs="Arial-BoldMT" w:eastAsia="Arial-BoldMT" w:hAnsi="Arial-BoldMT"/>
          <w:b w:val="1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left"/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ab/>
        <w:t xml:space="preserve">Уважаемые участники этапа "Кубка Анны Богалий - Skimir" в Магнитогорске (Абзаково).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Гостиничный комплекс в Абзаково предоставляет номера для проживания на льготных условиях.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22222"/>
          <w:sz w:val="24"/>
          <w:szCs w:val="24"/>
          <w:rtl w:val="0"/>
        </w:rPr>
        <w:t xml:space="preserve">Стоимость включает 3-х разовое питание в столовой.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22222"/>
          <w:sz w:val="24"/>
          <w:szCs w:val="24"/>
          <w:rtl w:val="0"/>
        </w:rPr>
        <w:br w:type="textWrapping"/>
        <w:tab/>
        <w:t xml:space="preserve">Бронировать проживание во время соревнований на территории Абзаково вам необходимо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22222"/>
          <w:sz w:val="24"/>
          <w:szCs w:val="24"/>
          <w:rtl w:val="0"/>
        </w:rPr>
        <w:t xml:space="preserve">самостоятельно, следующим образом: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- По договоренности с курортом Абзаково, вашей заявкой на бронь является - заявка на бланке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спортшколы со списком спортсменов, отправленная на адрес: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abzakovo@inbox.ru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ff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ab/>
        <w:t xml:space="preserve">Корректировки брони в дальнейшем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будут возможны. Но будьте готовы внести предоплату для сохранения вашей брони (оплата первых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суток проживания).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- Тип расселения вы выбираете сами, в таблице вся информация по вариантам расселения. В начале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вашего письма вы пишете: просим принять бронь на столько-то детей и столько-то взрослых, расселение 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таких-то номерах (с доп. местами или без и т. д.). Если для вас важно, кто именно с кем проживает, то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указываете это. Если количество проживающих у вас не делится на целые номера, то пишете, например: занимаем два места в четырехместном номере, согласны на подселение (чтобы не оплачивать весь четырехместный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номер) и т. д., то есть сопроводите ваше письмо любыми дополнительными комментариями, которые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22222"/>
          <w:sz w:val="24"/>
          <w:szCs w:val="24"/>
          <w:rtl w:val="0"/>
        </w:rPr>
        <w:t xml:space="preserve">сочтете нужными.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ab/>
        <w:t xml:space="preserve">8 (34792)70821 и 8 (34792)70841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— это телефоны, по которым вы можете задавать вопросы напрямую в Абзаково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вашему расселению.</w:t>
      </w:r>
    </w:p>
    <w:p w:rsidR="00000000" w:rsidDel="00000000" w:rsidP="00000000" w:rsidRDefault="00000000" w:rsidRPr="00000000" w14:paraId="00000007">
      <w:pPr>
        <w:spacing w:after="0" w:before="0" w:lineRule="auto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"/>
        <w:gridCol w:w="2053"/>
        <w:gridCol w:w="4891"/>
        <w:gridCol w:w="2551"/>
        <w:tblGridChange w:id="0">
          <w:tblGrid>
            <w:gridCol w:w="677"/>
            <w:gridCol w:w="2053"/>
            <w:gridCol w:w="4891"/>
            <w:gridCol w:w="2551"/>
          </w:tblGrid>
        </w:tblGridChange>
      </w:tblGrid>
      <w:tr>
        <w:trPr>
          <w:cantSplit w:val="0"/>
          <w:trHeight w:val="93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Корпус/коттедж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Категория номера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Цена (1 сутки за 1 человека с 3-х разовым питанием в столовой)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 корпус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2-х местный однокомнатный номер 2 категории   (с холодильником)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1850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 корпус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3-х местный однокомнатный номер 5 категории (доп.место не предоставляется)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1700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 корпус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4-х местный однокомнатный номер 5 категории (доп.место не предоставляется)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Коттедж № 1, 2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2-х местный однокомнатный  номер 5 категории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1750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5 корпус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2-х местный однокомнатный  номер 1 категории (доп.место не предоставляется)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5 корпус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3-х местный двухкомнатный номер 1 категории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 корпус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2-х местный однокомнатный  номер 1 категории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2150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Rule="auto"/>
              <w:jc w:val="left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Дополнительное место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1400</w:t>
            </w:r>
          </w:p>
        </w:tc>
      </w:tr>
    </w:tbl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по трансферу (встреча команд):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Для иногородних команд, прилетающих самолётом будет организован бесплатный трансфер (вне зависимости от места проживания)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иногородних команд прибывающих поездом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будет организован бесплатный трансфер только в случае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прибытия на станцию Новоабзаково и проживания именно на территории ООО "Абзаково"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тобы осуществить встречу команд (только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аэропорту Магнитогорска или на ж/д вокзале ст.Новоабзаково)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также обратный трансфер в день отъезда необходимо предоставить заявку от команды. Из других мест  организованный (бесплатный) трансфер не предоставляется.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Внимание! Мы сможем встретить вас только в случае своевременно предоставленной информации (заявки на трансфер) о времени, способе прибытия/отъезда, количестве человек. Предоставить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 20 декабря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почту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dmd-a@yandex.ru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пометкой в теме письма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«заявка на трансфер «Кубок А.Богалий»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Заявка на встречу/отъезд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ж/д вокзал ст.Новоабзаково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должна содержать в следующую информацию (пример):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а г. Нью-Биатлонска, СШОР №5. 3 взрослых 12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Прибытие в Новоабзаково 13.01 в 10:20  поезд 707. </w:t>
        <w:br w:type="textWrapping"/>
        <w:t xml:space="preserve">Отъезд 20.01 в 23:00 поезд 708.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Сопровождает: ФИО тренера +ТЕЛЕФОН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Заявка на встречу/отъезд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аэропорт Магнитогорска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должна содержать в следующую информацию по обязательной форме на каждого пассажира, для уведомления в ГИБДД (пример): </w:t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2409"/>
        <w:gridCol w:w="1276"/>
        <w:gridCol w:w="2268"/>
        <w:gridCol w:w="1418"/>
        <w:gridCol w:w="2551"/>
        <w:tblGridChange w:id="0">
          <w:tblGrid>
            <w:gridCol w:w="421"/>
            <w:gridCol w:w="2409"/>
            <w:gridCol w:w="1276"/>
            <w:gridCol w:w="2268"/>
            <w:gridCol w:w="1418"/>
            <w:gridCol w:w="25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несовершеннолетнего (спортсмена)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родителей (отец/мать)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проживания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родителей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Иван Николаевич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марта 2007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Николай Михайлович – отец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Мария Ивановна - мать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Тюменская область,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Тобольск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Ленина д.5 кв.10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8(902)8177755- отец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8(902)8155522 -мать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сопровождающего (тренер) Место работы, контактный телефон: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Сидоров Александр Дмитриевич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МБУ СШ г. Тобольска (Тренер по биатлону), 8(922)2211133</w:t>
            </w:r>
          </w:p>
        </w:tc>
      </w:tr>
    </w:tbl>
    <w:p w:rsidR="00000000" w:rsidDel="00000000" w:rsidP="00000000" w:rsidRDefault="00000000" w:rsidRPr="00000000" w14:paraId="00000053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*Индивидуально заявившиеся участники (один спортсмен + один сопровождающий), так же могут предоставить информацию о своем прибытии и отъезде, так как в случае совпадения с приездом других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смогут присоединиться к трансферу.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ВНИМАНИЕ! Если иногородняя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а НЕ нуждается в трансфере, так же просим сообщить нам об этом, вы очень поможете нашей логистике.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Кому звонить?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Могут возникать различные вопросы по трансферу. Внимание! Это человек который будет знать больше всех о встрече вашей команды и вообще о движении автобусов. Координатор по транспорту (сохраните номер):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+7 (906) 852-28-60 Евгений.</w:t>
      </w:r>
    </w:p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-BoldMT"/>
  <w:font w:name="Verdana"/>
  <w:font w:name="ArialMT"/>
  <w:font w:name="Times New Roman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60" w:before="24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bzakovo@inbox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